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9A33" w14:textId="77777777" w:rsidR="003F771C" w:rsidRDefault="00303B55" w:rsidP="00303B55">
      <w:pPr>
        <w:spacing w:after="720" w:line="240" w:lineRule="auto"/>
        <w:outlineLvl w:val="0"/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</w:pPr>
      <w:r w:rsidRPr="003F771C"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  <w:t xml:space="preserve">Fees for </w:t>
      </w:r>
      <w:proofErr w:type="gramStart"/>
      <w:r w:rsidRPr="003F771C"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  <w:t>Non NHS</w:t>
      </w:r>
      <w:proofErr w:type="gramEnd"/>
      <w:r w:rsidRPr="003F771C"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  <w:t xml:space="preserve"> Services</w:t>
      </w:r>
      <w:r w:rsidR="003F771C" w:rsidRPr="003F771C"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  <w:t xml:space="preserve"> </w:t>
      </w:r>
    </w:p>
    <w:p w14:paraId="1520599A" w14:textId="49EB96B4" w:rsidR="00303B55" w:rsidRPr="003F771C" w:rsidRDefault="003F771C" w:rsidP="00303B55">
      <w:pPr>
        <w:spacing w:after="720" w:line="240" w:lineRule="auto"/>
        <w:outlineLvl w:val="0"/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</w:pPr>
      <w:r w:rsidRPr="003F771C"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  <w:t xml:space="preserve"> West Derby M</w:t>
      </w:r>
      <w:r>
        <w:rPr>
          <w:rFonts w:ascii="Abadi" w:eastAsia="Times New Roman" w:hAnsi="Abadi" w:cs="Arial"/>
          <w:b/>
          <w:bCs/>
          <w:color w:val="212B32"/>
          <w:kern w:val="36"/>
          <w:sz w:val="48"/>
          <w:szCs w:val="48"/>
          <w:lang w:eastAsia="en-GB"/>
        </w:rPr>
        <w:t xml:space="preserve">edical Centre </w:t>
      </w:r>
    </w:p>
    <w:p w14:paraId="151A1D66" w14:textId="77777777" w:rsidR="00303B55" w:rsidRPr="003F771C" w:rsidRDefault="00303B55" w:rsidP="00303B55">
      <w:pPr>
        <w:spacing w:after="360" w:line="240" w:lineRule="auto"/>
        <w:rPr>
          <w:rFonts w:ascii="Abadi" w:eastAsia="Times New Roman" w:hAnsi="Abadi" w:cs="Arial"/>
          <w:color w:val="212B32"/>
          <w:sz w:val="24"/>
          <w:szCs w:val="24"/>
          <w:lang w:eastAsia="en-GB"/>
        </w:rPr>
      </w:pP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Remember:</w:t>
      </w:r>
    </w:p>
    <w:p w14:paraId="25E68B3A" w14:textId="5BA83D99" w:rsidR="00303B55" w:rsidRPr="003F771C" w:rsidRDefault="00303B55" w:rsidP="00303B55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badi" w:eastAsia="Times New Roman" w:hAnsi="Abadi" w:cs="Arial"/>
          <w:color w:val="212B32"/>
          <w:sz w:val="24"/>
          <w:szCs w:val="24"/>
          <w:lang w:eastAsia="en-GB"/>
        </w:rPr>
      </w:pP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Forms</w:t>
      </w:r>
      <w:r w:rsidR="003F771C"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 xml:space="preserve"> and </w:t>
      </w:r>
      <w:r w:rsidR="000F2F9E"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certificates can</w:t>
      </w: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 xml:space="preserve"> take up to four weeks to be processed.</w:t>
      </w:r>
    </w:p>
    <w:p w14:paraId="1877FA41" w14:textId="77777777" w:rsidR="00303B55" w:rsidRPr="003F771C" w:rsidRDefault="00303B55" w:rsidP="00303B55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badi" w:eastAsia="Times New Roman" w:hAnsi="Abadi" w:cs="Arial"/>
          <w:color w:val="212B32"/>
          <w:sz w:val="24"/>
          <w:szCs w:val="24"/>
          <w:lang w:eastAsia="en-GB"/>
        </w:rPr>
      </w:pP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Payment is required by the practice prior to forms being completed.</w:t>
      </w:r>
    </w:p>
    <w:p w14:paraId="4DC83C58" w14:textId="75E10FBD" w:rsidR="00303B55" w:rsidRPr="003F771C" w:rsidRDefault="00303B55" w:rsidP="00303B55">
      <w:pPr>
        <w:numPr>
          <w:ilvl w:val="0"/>
          <w:numId w:val="1"/>
        </w:numPr>
        <w:spacing w:before="100" w:beforeAutospacing="1" w:line="240" w:lineRule="auto"/>
        <w:ind w:left="480"/>
        <w:rPr>
          <w:rFonts w:ascii="Abadi" w:eastAsia="Times New Roman" w:hAnsi="Abadi" w:cs="Arial"/>
          <w:color w:val="212B32"/>
          <w:sz w:val="24"/>
          <w:szCs w:val="24"/>
          <w:lang w:eastAsia="en-GB"/>
        </w:rPr>
      </w:pP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This list is for Information only and it is not Intended to be exhaustive of all charges that may apply</w:t>
      </w:r>
      <w:r w:rsidR="00C93472"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 xml:space="preserve">, </w:t>
      </w:r>
      <w:r w:rsidR="000F2F9E"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please</w:t>
      </w:r>
      <w:r w:rsidR="00C93472"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 xml:space="preserve"> ask for further charges if your form is not mentioned below </w:t>
      </w:r>
    </w:p>
    <w:tbl>
      <w:tblPr>
        <w:tblW w:w="9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2704"/>
        <w:gridCol w:w="2979"/>
      </w:tblGrid>
      <w:tr w:rsidR="00303B55" w:rsidRPr="003F771C" w14:paraId="75A59E6A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15BFE6AB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7E00FAC5" w14:textId="1FF7CD5E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06A150CE" w14:textId="74B43C80" w:rsidR="00303B55" w:rsidRPr="003F771C" w:rsidRDefault="003F771C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Charges </w:t>
            </w:r>
          </w:p>
        </w:tc>
      </w:tr>
      <w:tr w:rsidR="00303B55" w:rsidRPr="003F771C" w14:paraId="46BFF679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6DBB2F75" w14:textId="1F06236C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Certificates of fact </w:t>
            </w:r>
            <w:r w:rsidR="000F2F9E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for </w:t>
            </w:r>
            <w:r w:rsidR="000F2F9E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Housing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 / School</w:t>
            </w:r>
            <w:r w:rsid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 and other regulatory bodies  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1188B86" w14:textId="008E5D8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65AD5C6F" w14:textId="4D181C1B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</w:t>
            </w:r>
            <w:r w:rsid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5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0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.00</w:t>
            </w:r>
          </w:p>
        </w:tc>
      </w:tr>
      <w:tr w:rsidR="00303B55" w:rsidRPr="003F771C" w14:paraId="15AA6E78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D5F6C3A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Private Sick Note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60C7D8F7" w14:textId="7E485CF2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6DDB6B25" w14:textId="48FEA9AC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60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.00</w:t>
            </w:r>
          </w:p>
        </w:tc>
      </w:tr>
      <w:tr w:rsidR="00303B55" w:rsidRPr="003F771C" w14:paraId="59214AB4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65CA72B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Accident / Sickness / Insurance Claim Form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6B85F196" w14:textId="0702652C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0C9206F3" w14:textId="2482459B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60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.00</w:t>
            </w:r>
          </w:p>
        </w:tc>
      </w:tr>
      <w:tr w:rsidR="00303B55" w:rsidRPr="003F771C" w14:paraId="5DD4E6F8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6D3BBE98" w14:textId="05443B5E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Free </w:t>
            </w:r>
            <w:r w:rsidR="000F2F9E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from infection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 certificate </w:t>
            </w:r>
            <w:proofErr w:type="gramStart"/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e.g.</w:t>
            </w:r>
            <w:proofErr w:type="gramEnd"/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 for school, travel, or employment.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280BB9F1" w14:textId="5D6E7236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64E91B9B" w14:textId="6A350008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60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.00</w:t>
            </w:r>
          </w:p>
        </w:tc>
      </w:tr>
      <w:tr w:rsidR="00303B55" w:rsidRPr="003F771C" w14:paraId="3C50F28A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BAD93E1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Private medical insurance claim form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5D0F0C22" w14:textId="3F43FBE9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255155AF" w14:textId="1DC710C2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6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303B55" w:rsidRPr="003F771C" w14:paraId="7D4D7702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08757B6B" w14:textId="77388860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To certify fitness for exercise / 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leisure facilities / extreme </w:t>
            </w:r>
            <w:r w:rsidR="000F2F9E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sports,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 xml:space="preserve"> etc.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1E0C5ED6" w14:textId="2DE06938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5B9EFC9A" w14:textId="7649F134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6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303B55" w:rsidRPr="003F771C" w14:paraId="073BE409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1FDB8A7B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lastRenderedPageBreak/>
              <w:t>Completion of child minder health form / adoption / fostering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45C42D0" w14:textId="7E14BC3F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227BECE5" w14:textId="64209036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£8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7.50</w:t>
            </w:r>
          </w:p>
        </w:tc>
      </w:tr>
      <w:tr w:rsidR="00303B55" w:rsidRPr="003F771C" w14:paraId="3E0E7D78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1FA7F4C1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HGV Medicals, Taxi, Employment medicals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09654E88" w14:textId="4BFC0389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0E8276A6" w14:textId="450E0A18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£1</w:t>
            </w:r>
            <w:r w:rsidR="00006D6F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50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.00</w:t>
            </w:r>
          </w:p>
        </w:tc>
      </w:tr>
      <w:tr w:rsidR="00303B55" w:rsidRPr="003F771C" w14:paraId="00E9E88C" w14:textId="77777777" w:rsidTr="00303B55">
        <w:trPr>
          <w:tblCellSpacing w:w="15" w:type="dxa"/>
        </w:trPr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CF04327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Passport countersignature</w:t>
            </w: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384D11D9" w14:textId="09BDAFD4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5D6F8668" w14:textId="67EE1028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</w:t>
            </w:r>
            <w:r w:rsidR="003F771C"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60</w:t>
            </w: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.00</w:t>
            </w:r>
          </w:p>
          <w:p w14:paraId="196771DD" w14:textId="77777777" w:rsidR="00C93472" w:rsidRPr="003F771C" w:rsidRDefault="00C93472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  <w:p w14:paraId="5AE3FDC0" w14:textId="77777777" w:rsidR="00C93472" w:rsidRPr="003F771C" w:rsidRDefault="00C93472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  <w:p w14:paraId="7FB29422" w14:textId="1A84274A" w:rsidR="00C93472" w:rsidRPr="003F771C" w:rsidRDefault="00C93472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</w:tr>
      <w:tr w:rsidR="00303B55" w:rsidRPr="003F771C" w14:paraId="494AA821" w14:textId="77777777" w:rsidTr="000F2F9E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288AF0A4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Access to computer records</w:t>
            </w:r>
          </w:p>
        </w:tc>
        <w:tc>
          <w:tcPr>
            <w:tcW w:w="0" w:type="auto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753E9CBE" w14:textId="7F6900DA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14:paraId="7E101034" w14:textId="77777777" w:rsidR="00303B55" w:rsidRPr="003F771C" w:rsidRDefault="00303B55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 w:rsidRPr="003F771C"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Free</w:t>
            </w:r>
          </w:p>
        </w:tc>
      </w:tr>
      <w:tr w:rsidR="000F2F9E" w:rsidRPr="003F771C" w14:paraId="57F65D22" w14:textId="77777777" w:rsidTr="00303B55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</w:tcPr>
          <w:p w14:paraId="102FB8EF" w14:textId="1967CF35" w:rsidR="000F2F9E" w:rsidRPr="003F771C" w:rsidRDefault="000F2F9E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Lasting Power of Attorney completed in centre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</w:tcPr>
          <w:p w14:paraId="11D666B8" w14:textId="77777777" w:rsidR="000F2F9E" w:rsidRPr="003F771C" w:rsidRDefault="000F2F9E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</w:tcPr>
          <w:p w14:paraId="692F55AA" w14:textId="009D1403" w:rsidR="000F2F9E" w:rsidRPr="003F771C" w:rsidRDefault="000F2F9E" w:rsidP="00303B55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  <w:t>£150.00</w:t>
            </w:r>
          </w:p>
        </w:tc>
      </w:tr>
    </w:tbl>
    <w:p w14:paraId="5020E2F6" w14:textId="77777777" w:rsidR="00303B55" w:rsidRPr="003F771C" w:rsidRDefault="00303B55" w:rsidP="00303B55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Abadi" w:eastAsia="Times New Roman" w:hAnsi="Abadi" w:cs="Arial"/>
          <w:color w:val="212B32"/>
          <w:sz w:val="24"/>
          <w:szCs w:val="24"/>
          <w:lang w:eastAsia="en-GB"/>
        </w:rPr>
      </w:pP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Please note we do NOT complete residency/Nationality Forms</w:t>
      </w:r>
    </w:p>
    <w:p w14:paraId="1A8DDF22" w14:textId="77777777" w:rsidR="00303B55" w:rsidRPr="003F771C" w:rsidRDefault="00303B55" w:rsidP="00303B55">
      <w:pPr>
        <w:spacing w:line="240" w:lineRule="auto"/>
        <w:rPr>
          <w:rFonts w:ascii="Abadi" w:eastAsia="Times New Roman" w:hAnsi="Abadi" w:cs="Arial"/>
          <w:color w:val="212B32"/>
          <w:sz w:val="24"/>
          <w:szCs w:val="24"/>
          <w:lang w:eastAsia="en-GB"/>
        </w:rPr>
      </w:pPr>
    </w:p>
    <w:p w14:paraId="18AFE391" w14:textId="79DA872A" w:rsidR="00303B55" w:rsidRPr="003F771C" w:rsidRDefault="00303B55" w:rsidP="00303B55">
      <w:pPr>
        <w:spacing w:line="240" w:lineRule="auto"/>
        <w:rPr>
          <w:rFonts w:ascii="Abadi" w:eastAsia="Times New Roman" w:hAnsi="Abadi" w:cs="Arial"/>
          <w:color w:val="212B32"/>
          <w:sz w:val="24"/>
          <w:szCs w:val="24"/>
          <w:lang w:eastAsia="en-GB"/>
        </w:rPr>
      </w:pP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>Fees last reviewed J</w:t>
      </w:r>
      <w:r w:rsidR="003F771C"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 xml:space="preserve">UNE </w:t>
      </w:r>
      <w:r w:rsidRPr="003F771C">
        <w:rPr>
          <w:rFonts w:ascii="Abadi" w:eastAsia="Times New Roman" w:hAnsi="Abadi" w:cs="Arial"/>
          <w:color w:val="212B32"/>
          <w:sz w:val="24"/>
          <w:szCs w:val="24"/>
          <w:lang w:eastAsia="en-GB"/>
        </w:rPr>
        <w:t xml:space="preserve"> 23 </w:t>
      </w:r>
    </w:p>
    <w:p w14:paraId="0A51321A" w14:textId="42873F51" w:rsidR="00303B55" w:rsidRPr="003F771C" w:rsidRDefault="00303B55" w:rsidP="00303B55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GB"/>
        </w:rPr>
      </w:pPr>
      <w:r w:rsidRPr="003F771C">
        <w:rPr>
          <w:rFonts w:ascii="Abadi" w:eastAsia="Times New Roman" w:hAnsi="Abadi" w:cs="Arial"/>
          <w:noProof/>
          <w:color w:val="212B32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95ECE51" wp14:editId="251DD79D">
                <wp:extent cx="304800" cy="304800"/>
                <wp:effectExtent l="0" t="0" r="0" b="0"/>
                <wp:docPr id="1" name="AutoShape 1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200FD" id="AutoShape 1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FBCDC9" w14:textId="77777777" w:rsidR="00303B55" w:rsidRPr="003F771C" w:rsidRDefault="00303B55" w:rsidP="00303B55">
      <w:pPr>
        <w:shd w:val="clear" w:color="auto" w:fill="D8DDE0"/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GB"/>
        </w:rPr>
      </w:pPr>
      <w:r w:rsidRPr="003F771C">
        <w:rPr>
          <w:rFonts w:ascii="Abadi" w:eastAsia="Times New Roman" w:hAnsi="Abadi" w:cs="Times New Roman"/>
          <w:sz w:val="24"/>
          <w:szCs w:val="24"/>
          <w:lang w:eastAsia="en-GB"/>
        </w:rPr>
        <w:t> </w:t>
      </w:r>
    </w:p>
    <w:p w14:paraId="421276A7" w14:textId="77777777" w:rsidR="00303B55" w:rsidRPr="003F771C" w:rsidRDefault="00303B55" w:rsidP="00303B55">
      <w:pPr>
        <w:shd w:val="clear" w:color="auto" w:fill="D8DDE0"/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GB"/>
        </w:rPr>
      </w:pPr>
      <w:r w:rsidRPr="003F771C">
        <w:rPr>
          <w:rFonts w:ascii="Abadi" w:eastAsia="Times New Roman" w:hAnsi="Abadi" w:cs="Times New Roman"/>
          <w:sz w:val="24"/>
          <w:szCs w:val="24"/>
          <w:lang w:eastAsia="en-GB"/>
        </w:rPr>
        <w:br/>
        <w:t> </w:t>
      </w:r>
    </w:p>
    <w:p w14:paraId="75A1C0EA" w14:textId="77777777" w:rsidR="00E93930" w:rsidRPr="003F771C" w:rsidRDefault="00E93930">
      <w:pPr>
        <w:rPr>
          <w:rFonts w:ascii="Abadi" w:hAnsi="Abadi"/>
        </w:rPr>
      </w:pPr>
    </w:p>
    <w:sectPr w:rsidR="00E93930" w:rsidRPr="003F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0C0"/>
    <w:multiLevelType w:val="multilevel"/>
    <w:tmpl w:val="F75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C14D6"/>
    <w:multiLevelType w:val="multilevel"/>
    <w:tmpl w:val="20F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62898"/>
    <w:multiLevelType w:val="multilevel"/>
    <w:tmpl w:val="1BF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B4713"/>
    <w:multiLevelType w:val="multilevel"/>
    <w:tmpl w:val="BC9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098526">
    <w:abstractNumId w:val="3"/>
  </w:num>
  <w:num w:numId="2" w16cid:durableId="1686518010">
    <w:abstractNumId w:val="2"/>
  </w:num>
  <w:num w:numId="3" w16cid:durableId="369112139">
    <w:abstractNumId w:val="0"/>
  </w:num>
  <w:num w:numId="4" w16cid:durableId="169889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55"/>
    <w:rsid w:val="00006D6F"/>
    <w:rsid w:val="000F2F9E"/>
    <w:rsid w:val="00303B55"/>
    <w:rsid w:val="003F771C"/>
    <w:rsid w:val="0064090A"/>
    <w:rsid w:val="00C02145"/>
    <w:rsid w:val="00C93472"/>
    <w:rsid w:val="00E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4318"/>
  <w15:chartTrackingRefBased/>
  <w15:docId w15:val="{FE0D5263-C9C6-4A11-90DF-6AD05E11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8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8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453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850579">
          <w:marLeft w:val="0"/>
          <w:marRight w:val="0"/>
          <w:marTop w:val="0"/>
          <w:marBottom w:val="0"/>
          <w:divBdr>
            <w:top w:val="single" w:sz="24" w:space="24" w:color="005E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61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00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23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0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7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89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8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0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4564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535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934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809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88835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5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2" w:color="F8F7F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13364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Rimmer</dc:creator>
  <cp:keywords/>
  <dc:description/>
  <cp:lastModifiedBy>Mark McVeigh</cp:lastModifiedBy>
  <cp:revision>2</cp:revision>
  <dcterms:created xsi:type="dcterms:W3CDTF">2023-06-20T15:03:00Z</dcterms:created>
  <dcterms:modified xsi:type="dcterms:W3CDTF">2023-06-20T15:03:00Z</dcterms:modified>
</cp:coreProperties>
</file>